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19"/>
    <w:p>
      <w:pPr>
        <w:pStyle w:val="Heading1"/>
      </w:pPr>
      <w:r>
        <w:t xml:space="preserve">Homiletics Analysis: Jeremiah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a Larger Movement (Jeremiah 18–20):</w:t>
      </w:r>
      <w:r>
        <w:t xml:space="preserve"> </w:t>
      </w:r>
      <w:r>
        <w:t xml:space="preserve">Jeremiah 19 belongs to a tightly integrated unit spanning chapters 18–20, in which God uses physical object lessons (the potter’s clay, the broken flask) and escalating confrontation to press an increasingly urgent claim upon Judah: the covenant can be broken by persistent rebellion, and the consequences are no longer theoretical. Chapter 18 held open the door of repentance while demonstrating God’s sovereign freedom over nations. Chapter 19 slams the door with a shattered jar. Chapter 20 records the personal cost to Jeremiah of delivering this message, anchoring the call to prophetic faithfulness in suffering. Within this movement, chapter 19 functions as the hinge — the moment when divine patience crosses into divine sentence. Understanding that movement is load-bearing for reading chapter 19 rightly: this is not a general warning but the announcement of an irreversible verdict.</w:t>
      </w:r>
    </w:p>
    <w:p>
      <w:pPr>
        <w:pStyle w:val="BodyText"/>
      </w:pPr>
      <w:r>
        <w:rPr>
          <w:b/>
          <w:bCs/>
        </w:rPr>
        <w:t xml:space="preserve">This Text — Content:</w:t>
      </w:r>
      <w:r>
        <w:t xml:space="preserve"> </w:t>
      </w:r>
      <w:r>
        <w:t xml:space="preserve">Jeremiah 19 unfolds in two movements joined by a single act. God commands Jeremiah to purchase an earthen flask — not raw clay that can still be shaped, but a finished, fired, hardened vessel — and to take it to the Valley of the Son of Hinnom (Topheth) with the elders and senior priests as witnesses. There God delivers through Jeremiah a detailed indictment of Judah’s sin: the abandonment of the LORD in favor of foreign gods, the burning of incense to Baal, and most horrifyingly, the sacrifice of their children to Baal at the high places of Topheth. The indictment concludes with a sentence: Jerusalem will be made like Topheth itself — a place of slaughter so catastrophic that the city will be renamed the Valley of Slaughter, that siege conditions will drive cannibalism, that the birds and beasts will feed on the corpses of the fallen. Then Jeremiah shatters the flask before the witnesses and delivers the verdict’s summary: as the flask cannot be remade, so this city cannot be restored. He returns to the temple court and repeats the message to the whole people. The chapter is saturated with the vocabulary of irreversibility — the thing that cannot be mended, the site that cannot be reclaimed, the city whose very name will be changed by catastrophe.</w:t>
      </w:r>
    </w:p>
    <w:p>
      <w:pPr>
        <w:pStyle w:val="BodyText"/>
      </w:pPr>
      <w:r>
        <w:rPr>
          <w:b/>
          <w:bCs/>
        </w:rPr>
        <w:t xml:space="preserve">This Text — Intent:</w:t>
      </w:r>
      <w:r>
        <w:t xml:space="preserve"> </w:t>
      </w:r>
      <w:r>
        <w:t xml:space="preserve">God is seeking to accomplish two things through this chapter, working simultaneously on two audiences. For Judah (the original hearers), the intent is to confront with the full weight of what persistent, willful covenant-breaking has produced: not a correctable condition but a hardened state, not a warning still open to response but a sentence already sealed. For every subsequent reader, including the contemporary church, the intent is to establish with utter seriousness that God’s patience has a limit, that the shedding of innocent blood carries a specific weight before God, that false worship is never merely personal or private but has catastrophic communal consequences, and that the prophetic office sometimes requires delivering irreversible verdicts without softening them. The shattered flask is not a pedagogical prop — it is a physical word from God, a covenant lawsuit enacted in ceramic and stone.</w:t>
      </w:r>
    </w:p>
    <w:p>
      <w:r>
        <w:pict>
          <v:rect style="width:0;height:1.5pt" o:hralign="center" o:hrstd="t" o:hr="t"/>
        </w:pict>
      </w:r>
    </w:p>
    <w:p>
      <w:pPr>
        <w:pStyle w:val="FirstParagraph"/>
      </w:pPr>
      <w:r>
        <w:rPr>
          <w:b/>
          <w:bCs/>
        </w:rPr>
        <w:t xml:space="preserve">Subject Sentence:</w:t>
      </w:r>
      <w:r>
        <w:t xml:space="preserve"> </w:t>
      </w:r>
      <w:r>
        <w:t xml:space="preserve">God sentences Jerusalem to irreversible destruction for the shedding of innocent blood and the worship of false gods.</w:t>
      </w:r>
    </w:p>
    <w:p>
      <w:r>
        <w:pict>
          <v:rect style="width:0;height:1.5pt" o:hralign="center" o:hrstd="t" o:hr="t"/>
        </w:pict>
      </w:r>
    </w:p>
    <w:p>
      <w:pPr>
        <w:pStyle w:val="FirstParagraph"/>
      </w:pPr>
      <w:r>
        <w:rPr>
          <w:b/>
          <w:bCs/>
        </w:rPr>
        <w:t xml:space="preserve">Primary Claim:</w:t>
      </w:r>
      <w:r>
        <w:t xml:space="preserve"> </w:t>
      </w:r>
      <w:r>
        <w:t xml:space="preserve">God’s judgment falls not merely when sin is committed but when sin has hardened beyond the reach of repentance — and when it does, the reckoning is precisely proportioned to the atrocity. God is calling every reader to reckon with the severity of what persistent, institutional, child-consuming idolatry actually costs.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irreversibility — is this unconditional?</w:t>
      </w:r>
      <w:r>
        <w:t xml:space="preserve"> </w:t>
      </w:r>
      <w:r>
        <w:t xml:space="preserve">The most significant hermeneutical question in chapter 19 is whether the declaration of judgment is truly final and unconditional, or whether it remains implicitly conditional as Jeremiah’s earlier messages were. The broader canon records that Jeremiah himself preached through the fall of Jerusalem and beyond, and that restoration promises appear throughout the book (Jeremiah 30–33). A Wesleyan-Arminian reading may be tempted to soften the irreversibility by noting that God’s judgments are always potentially responsive to repentance (citing Jonah, citing Jeremiah 18). This reading should be</w:t>
      </w:r>
      <w:r>
        <w:t xml:space="preserve"> </w:t>
      </w:r>
      <w:r>
        <w:rPr>
          <w:i/>
          <w:iCs/>
        </w:rPr>
        <w:t xml:space="preserve">qualified</w:t>
      </w:r>
      <w:r>
        <w:t xml:space="preserve">: the conditionality of Jeremiah 18 is precisely why chapter 19 introduces a</w:t>
      </w:r>
      <w:r>
        <w:t xml:space="preserve"> </w:t>
      </w:r>
      <w:r>
        <w:rPr>
          <w:i/>
          <w:iCs/>
        </w:rPr>
        <w:t xml:space="preserve">different</w:t>
      </w:r>
      <w:r>
        <w:t xml:space="preserve"> </w:t>
      </w:r>
      <w:r>
        <w:t xml:space="preserve">object lesson. The potter’s clay of chapter 18 is still workable; the fired, hardened flask of chapter 19 is not. The canonical sequence is not accidental — it marks a movement from conditional warning to unconditional sentence. The Wesleyan impulse to preserve human responsiveness is correct as a general theological principle but misapplied here, where the text’s own chosen imagery insists on irreversibility. The Reformed reading affirms this: the judgment on Jerusalem (the 586 B.C. destruction) was indeed final for that generation in that city, even as restoration for the covenant people as a whole remained God’s long purpose.</w:t>
      </w:r>
    </w:p>
    <w:p>
      <w:pPr>
        <w:pStyle w:val="BodyText"/>
      </w:pPr>
      <w:r>
        <w:rPr>
          <w:b/>
          <w:bCs/>
        </w:rPr>
        <w:t xml:space="preserve">Topheth and child sacrifice — interpretive scope:</w:t>
      </w:r>
      <w:r>
        <w:t xml:space="preserve"> </w:t>
      </w:r>
      <w:r>
        <w:t xml:space="preserve">Some interpreters (particularly those with a Dispensational orientation toward Israel’s future) focus so heavily on the eschatological implications of the Valley of Hinnom (Gehenna, hellfire) that they underread the historical-ethical force of the text. The child sacrifice at Topheth is not primarily a type pointing forward — it is a specific, historically identified atrocity that God names as a direct cause of the sentence. The Dispensational instinct to trace the Valley of Hinnom’s canonical trajectory has value (the imagery does develop into Jesus’s Gehenna language), but it must not displace the passage’s primary force: God is responding to an actual practice of burning children alive, and He names it, describes it, and proportions the punishment to it with terrible specificity. This is an</w:t>
      </w:r>
      <w:r>
        <w:t xml:space="preserve"> </w:t>
      </w:r>
      <w:r>
        <w:rPr>
          <w:i/>
          <w:iCs/>
        </w:rPr>
        <w:t xml:space="preserve">acknowledge without displacement</w:t>
      </w:r>
      <w:r>
        <w:t xml:space="preserve"> </w:t>
      </w:r>
      <w:r>
        <w:t xml:space="preserve">— the canonical trajectory is real, but it cannot substitute for the historical-ethical exegesis the text demands.</w:t>
      </w:r>
    </w:p>
    <w:p>
      <w:pPr>
        <w:pStyle w:val="BodyText"/>
      </w:pPr>
      <w:r>
        <w:rPr>
          <w:b/>
          <w:bCs/>
        </w:rPr>
        <w:t xml:space="preserve">Jeremiah as mere messenger vs. Jeremiah as participant in divine pathos:</w:t>
      </w:r>
      <w:r>
        <w:t xml:space="preserve"> </w:t>
      </w:r>
      <w:r>
        <w:t xml:space="preserve">Some flat-footed historical-grammatical readings (sometimes associated with Dispensational or conservative Baptist approaches) treat Jeremiah’s role as purely mechanical — he is assigned a task, he performs it, he reports the results. This should be</w:t>
      </w:r>
      <w:r>
        <w:t xml:space="preserve"> </w:t>
      </w:r>
      <w:r>
        <w:rPr>
          <w:i/>
          <w:iCs/>
        </w:rPr>
        <w:t xml:space="preserve">qualified</w:t>
      </w:r>
      <w:r>
        <w:t xml:space="preserve">. The selection of Jeremiah for this task, the specificity of the witnesses required, the location at Topheth, the return to the temple court — all of this indicates that Jeremiah is not merely a telegraph operator transmitting divine messages. He is the embodied covenant lawsuit, the living sign-act. His willingness to go, purchase, shatter, and declare — in the face of what chapter 20 reveals this costs him — is itself part of the message. Application that ignores Jeremiah’s person and suffering to focus only on the abstract theological content of the oracle misses a dimension the text insists on.</w:t>
      </w:r>
    </w:p>
    <w:p>
      <w:pPr>
        <w:pStyle w:val="BodyText"/>
      </w:pPr>
      <w:r>
        <w:rPr>
          <w:b/>
          <w:bCs/>
        </w:rPr>
        <w:t xml:space="preserve">Reformed verdict:</w:t>
      </w:r>
      <w:r>
        <w:t xml:space="preserve"> </w:t>
      </w:r>
      <w:r>
        <w:t xml:space="preserve">The passage is a formally constructed prophetic sign-act delivering an irreversible divine sentence against a specific, named, historically situated sin: the abandonment of the covenant, the burning of incense to foreign gods, and specifically the sacrifice of children at Topheth. The judgment is not general — it is proportioned. The location of the sentence (Topheth) will become the location of the punishment (the Valley of Slaughter). The Reformed reading that takes the historical force of the judgment seriously, reads the imagery of the broken flask as marking a genuine transition from warning to verdict, and refuses to soften the irreversibility without doing violence to the text, is the reading best supported by the passage in its literary context and within the canonical movement of Jeremiah 18–20.</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18:10; Leviticus 18:21</w:t>
      </w:r>
      <w:r>
        <w:t xml:space="preserve"> </w:t>
      </w:r>
      <w:r>
        <w:t xml:space="preserve">— The Law explicitly and repeatedly prohibits child sacrifice; Topheth is the direct violation of these commands, establishing that Judah’s sin is not ignorance but willful, repeated, institutionalized covenant-breaking.</w:t>
      </w:r>
    </w:p>
    <w:p>
      <w:pPr>
        <w:numPr>
          <w:ilvl w:val="0"/>
          <w:numId w:val="1001"/>
        </w:numPr>
      </w:pPr>
      <w:r>
        <w:rPr>
          <w:b/>
          <w:bCs/>
        </w:rPr>
        <w:t xml:space="preserve">2 Kings 23:10</w:t>
      </w:r>
      <w:r>
        <w:t xml:space="preserve"> </w:t>
      </w:r>
      <w:r>
        <w:t xml:space="preserve">— Josiah’s reform had defiled Topheth specifically, making Jeremiah’s audience doubly culpable — they had seen the right, embraced it under Josiah, and then returned to the abomination. The sin is not naïve; it is recidivist.</w:t>
      </w:r>
    </w:p>
    <w:p>
      <w:pPr>
        <w:numPr>
          <w:ilvl w:val="0"/>
          <w:numId w:val="1001"/>
        </w:numPr>
      </w:pPr>
      <w:r>
        <w:rPr>
          <w:b/>
          <w:bCs/>
        </w:rPr>
        <w:t xml:space="preserve">Isaiah 30:12-14</w:t>
      </w:r>
      <w:r>
        <w:t xml:space="preserve"> </w:t>
      </w:r>
      <w:r>
        <w:t xml:space="preserve">— God uses the same imagery of a shattered vessel to communicate the suddenness and totality of a judgment that cannot be repaired:</w:t>
      </w:r>
      <w:r>
        <w:t xml:space="preserve"> </w:t>
      </w:r>
      <w:r>
        <w:rPr>
          <w:i/>
          <w:iCs/>
        </w:rPr>
        <w:t xml:space="preserve">“Your guilt will be like a crack in a high wall, bulging out, and about to collapse, whose breaking comes suddenly.”</w:t>
      </w:r>
      <w:r>
        <w:t xml:space="preserve"> </w:t>
      </w:r>
      <w:r>
        <w:t xml:space="preserve">The ceramic imagery for irreversible judgment is not unique to Jeremiah but belongs to the prophetic tradition.</w:t>
      </w:r>
    </w:p>
    <w:p>
      <w:pPr>
        <w:numPr>
          <w:ilvl w:val="0"/>
          <w:numId w:val="1001"/>
        </w:numPr>
      </w:pPr>
      <w:r>
        <w:rPr>
          <w:b/>
          <w:bCs/>
        </w:rPr>
        <w:t xml:space="preserve">Matthew 5:22, 29-30; Mark 9:43-47</w:t>
      </w:r>
      <w:r>
        <w:t xml:space="preserve"> </w:t>
      </w:r>
      <w:r>
        <w:t xml:space="preserve">— Jesus appropriates the Valley of Hinnom (Gehenna) as His primary image for final judgment, showing the canonical trajectory of Topheth from a historical site of atrocity to a theological category for eschatological reckoning. Jeremiah 19 is part of the exegetical background for Jesus’s Gehenna language.</w:t>
      </w:r>
    </w:p>
    <w:p>
      <w:pPr>
        <w:numPr>
          <w:ilvl w:val="0"/>
          <w:numId w:val="1001"/>
        </w:numPr>
      </w:pPr>
      <w:r>
        <w:rPr>
          <w:b/>
          <w:bCs/>
        </w:rPr>
        <w:t xml:space="preserve">Revelation 6:10; 16:6</w:t>
      </w:r>
      <w:r>
        <w:t xml:space="preserve"> </w:t>
      </w:r>
      <w:r>
        <w:t xml:space="preserve">— The cry of the martyrs and the divine verdict that those who shed innocent blood receive blood to drink ground the principle of Jeremiah 19 in the eschatological resolution: God does not forget the innocent blood shed at Topheth or anywhere else, and the proportionality of the judgment in Jeremiah 19 anticipates the proportionality of final judgment.</w:t>
      </w:r>
    </w:p>
    <w:p>
      <w:r>
        <w:pict>
          <v:rect style="width:0;height:1.5pt" o:hralign="center" o:hrstd="t" o:hr="t"/>
        </w:pict>
      </w:r>
    </w:p>
    <w:p>
      <w:pPr>
        <w:pStyle w:val="FirstParagraph"/>
      </w:pPr>
      <w:r>
        <w:rPr>
          <w:b/>
          <w:bCs/>
        </w:rPr>
        <w:t xml:space="preserve">Aim:</w:t>
      </w:r>
      <w:r>
        <w:t xml:space="preserve"> </w:t>
      </w:r>
      <w:r>
        <w:t xml:space="preserve">To confront readers with the full theological weight of what willful, institutionalized, child-consuming idolatry looks like before a holy God — and to establish that God’s judgment, when it falls on a society that has hardened past repentance, falls with proportioned, specific, and irreversible force.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God commands Jeremiah to buy a potter’s earthen flask</w:t>
            </w:r>
          </w:p>
        </w:tc>
        <w:tc>
          <w:tcPr/>
          <w:p>
            <w:pPr>
              <w:pStyle w:val="Compact"/>
            </w:pPr>
            <w:r>
              <w:t xml:space="preserve">Key distinction: this is a</w:t>
            </w:r>
            <w:r>
              <w:t xml:space="preserve"> </w:t>
            </w:r>
            <w:r>
              <w:rPr>
                <w:i/>
                <w:iCs/>
              </w:rPr>
              <w:t xml:space="preserve">finished</w:t>
            </w:r>
            <w:r>
              <w:t xml:space="preserve"> </w:t>
            </w:r>
            <w:r>
              <w:t xml:space="preserve">vessel, not raw clay — contrast with ch. 18</w:t>
            </w:r>
          </w:p>
        </w:tc>
      </w:tr>
      <w:tr>
        <w:tc>
          <w:tcPr/>
          <w:p>
            <w:pPr>
              <w:pStyle w:val="Compact"/>
            </w:pPr>
            <w:r>
              <w:t xml:space="preserve">1b</w:t>
            </w:r>
          </w:p>
        </w:tc>
        <w:tc>
          <w:tcPr/>
          <w:p>
            <w:pPr>
              <w:pStyle w:val="Compact"/>
            </w:pPr>
            <w:r>
              <w:t xml:space="preserve">Jeremiah is to take elders of the people and senior priests as witnesses</w:t>
            </w:r>
          </w:p>
        </w:tc>
        <w:tc>
          <w:tcPr/>
          <w:p>
            <w:pPr>
              <w:pStyle w:val="Compact"/>
            </w:pPr>
            <w:r>
              <w:t xml:space="preserve">Formal legal proceeding; witnesses required for covenant lawsuit</w:t>
            </w:r>
          </w:p>
        </w:tc>
      </w:tr>
      <w:tr>
        <w:tc>
          <w:tcPr/>
          <w:p>
            <w:pPr>
              <w:pStyle w:val="Compact"/>
            </w:pPr>
            <w:r>
              <w:t xml:space="preserve">2</w:t>
            </w:r>
          </w:p>
        </w:tc>
        <w:tc>
          <w:tcPr/>
          <w:p>
            <w:pPr>
              <w:pStyle w:val="Compact"/>
            </w:pPr>
            <w:r>
              <w:t xml:space="preserve">Destination: Valley of the Son of Hinnom, at the entry of the Potsherd Gate</w:t>
            </w:r>
          </w:p>
        </w:tc>
        <w:tc>
          <w:tcPr/>
          <w:p>
            <w:pPr>
              <w:pStyle w:val="Compact"/>
            </w:pPr>
            <w:r>
              <w:t xml:space="preserve">Topheth: site of child sacrifice; the sentence will be delivered at the scene of the crime</w:t>
            </w:r>
          </w:p>
        </w:tc>
      </w:tr>
      <w:tr>
        <w:tc>
          <w:tcPr/>
          <w:p>
            <w:pPr>
              <w:pStyle w:val="Compact"/>
            </w:pPr>
            <w:r>
              <w:t xml:space="preserve">3</w:t>
            </w:r>
          </w:p>
        </w:tc>
        <w:tc>
          <w:tcPr/>
          <w:p>
            <w:pPr>
              <w:pStyle w:val="Compact"/>
            </w:pPr>
            <w:r>
              <w:t xml:space="preserve">Opening of the indictment:</w:t>
            </w:r>
            <w:r>
              <w:t xml:space="preserve"> </w:t>
            </w:r>
            <w:r>
              <w:t xml:space="preserve">“Hear the word of the LORD, O kings of Judah and inhabitants of Jerusalem”</w:t>
            </w:r>
          </w:p>
        </w:tc>
        <w:tc>
          <w:tcPr/>
          <w:p>
            <w:pPr>
              <w:pStyle w:val="Compact"/>
            </w:pPr>
            <w:r>
              <w:t xml:space="preserve">Formal summons; plural</w:t>
            </w:r>
            <w:r>
              <w:t xml:space="preserve"> </w:t>
            </w:r>
            <w:r>
              <w:t xml:space="preserve">“kings”</w:t>
            </w:r>
            <w:r>
              <w:t xml:space="preserve"> </w:t>
            </w:r>
            <w:r>
              <w:t xml:space="preserve">may include all in the line of Davidic succession, or the king and his court</w:t>
            </w:r>
          </w:p>
        </w:tc>
      </w:tr>
      <w:tr>
        <w:tc>
          <w:tcPr/>
          <w:p>
            <w:pPr>
              <w:pStyle w:val="Compact"/>
            </w:pPr>
            <w:r>
              <w:t xml:space="preserve">3b</w:t>
            </w:r>
          </w:p>
        </w:tc>
        <w:tc>
          <w:tcPr/>
          <w:p>
            <w:pPr>
              <w:pStyle w:val="Compact"/>
            </w:pPr>
            <w:r>
              <w:t xml:space="preserve">God announces He is bringing such disaster that ears will tingle</w:t>
            </w:r>
          </w:p>
        </w:tc>
        <w:tc>
          <w:tcPr/>
          <w:p>
            <w:pPr>
              <w:pStyle w:val="Compact"/>
            </w:pPr>
            <w:r>
              <w:t xml:space="preserve">The phrase echoes 1 Samuel 3:11 and 2 Kings 21:12 — a standard formula for unprecedented catastrophe</w:t>
            </w:r>
          </w:p>
        </w:tc>
      </w:tr>
      <w:tr>
        <w:tc>
          <w:tcPr/>
          <w:p>
            <w:pPr>
              <w:pStyle w:val="Compact"/>
            </w:pPr>
            <w:r>
              <w:t xml:space="preserve">4</w:t>
            </w:r>
          </w:p>
        </w:tc>
        <w:tc>
          <w:tcPr/>
          <w:p>
            <w:pPr>
              <w:pStyle w:val="Compact"/>
            </w:pPr>
            <w:r>
              <w:t xml:space="preserve">First charge: they have forsaken God and made this place strange/foreign</w:t>
            </w:r>
          </w:p>
        </w:tc>
        <w:tc>
          <w:tcPr/>
          <w:p>
            <w:pPr>
              <w:pStyle w:val="Compact"/>
            </w:pPr>
            <w:r>
              <w:t xml:space="preserve">Legal term: estrangement from covenant; they have alienated the holy city to foreign gods</w:t>
            </w:r>
          </w:p>
        </w:tc>
      </w:tr>
      <w:tr>
        <w:tc>
          <w:tcPr/>
          <w:p>
            <w:pPr>
              <w:pStyle w:val="Compact"/>
            </w:pPr>
            <w:r>
              <w:t xml:space="preserve">4b</w:t>
            </w:r>
          </w:p>
        </w:tc>
        <w:tc>
          <w:tcPr/>
          <w:p>
            <w:pPr>
              <w:pStyle w:val="Compact"/>
            </w:pPr>
            <w:r>
              <w:t xml:space="preserve">Burning incense to foreign gods, which neither they nor their fathers nor the kings of Judah knew</w:t>
            </w:r>
          </w:p>
        </w:tc>
        <w:tc>
          <w:tcPr/>
          <w:p>
            <w:pPr>
              <w:pStyle w:val="Compact"/>
            </w:pPr>
            <w:r>
              <w:t xml:space="preserve">Ancestral apostasy compounded — the sin spans generations</w:t>
            </w:r>
          </w:p>
        </w:tc>
      </w:tr>
      <w:tr>
        <w:tc>
          <w:tcPr/>
          <w:p>
            <w:pPr>
              <w:pStyle w:val="Compact"/>
            </w:pPr>
            <w:r>
              <w:t xml:space="preserve">4c</w:t>
            </w:r>
          </w:p>
        </w:tc>
        <w:tc>
          <w:tcPr/>
          <w:p>
            <w:pPr>
              <w:pStyle w:val="Compact"/>
            </w:pPr>
            <w:r>
              <w:t xml:space="preserve">Filling this place with the blood of innocents</w:t>
            </w:r>
          </w:p>
        </w:tc>
        <w:tc>
          <w:tcPr/>
          <w:p>
            <w:pPr>
              <w:pStyle w:val="Compact"/>
            </w:pPr>
            <w:r>
              <w:t xml:space="preserve">Child sacrifice identified as the shedding of innocent blood — God’s legal characterization</w:t>
            </w:r>
          </w:p>
        </w:tc>
      </w:tr>
      <w:tr>
        <w:tc>
          <w:tcPr/>
          <w:p>
            <w:pPr>
              <w:pStyle w:val="Compact"/>
            </w:pPr>
            <w:r>
              <w:t xml:space="preserve">5</w:t>
            </w:r>
          </w:p>
        </w:tc>
        <w:tc>
          <w:tcPr/>
          <w:p>
            <w:pPr>
              <w:pStyle w:val="Compact"/>
            </w:pPr>
            <w:r>
              <w:t xml:space="preserve">Second charge: building high places to Baal to burn their sons as offerings</w:t>
            </w:r>
          </w:p>
        </w:tc>
        <w:tc>
          <w:tcPr/>
          <w:p>
            <w:pPr>
              <w:pStyle w:val="Compact"/>
            </w:pPr>
            <w:r>
              <w:t xml:space="preserve">God states explicitly that this was not commanded, not decreed, not even conceived by Him — it is utterly alien to His nature</w:t>
            </w:r>
          </w:p>
        </w:tc>
      </w:tr>
      <w:tr>
        <w:tc>
          <w:tcPr/>
          <w:p>
            <w:pPr>
              <w:pStyle w:val="Compact"/>
            </w:pPr>
            <w:r>
              <w:t xml:space="preserve">6</w:t>
            </w:r>
          </w:p>
        </w:tc>
        <w:tc>
          <w:tcPr/>
          <w:p>
            <w:pPr>
              <w:pStyle w:val="Compact"/>
            </w:pPr>
            <w:r>
              <w:t xml:space="preserve">Sentence begins: therefore the days are coming when this place will no longer be called Topheth or Valley of the Son of Hinnom, but Valley of Slaughter</w:t>
            </w:r>
          </w:p>
        </w:tc>
        <w:tc>
          <w:tcPr/>
          <w:p>
            <w:pPr>
              <w:pStyle w:val="Compact"/>
            </w:pPr>
            <w:r>
              <w:t xml:space="preserve">Renaming as judgment — the place becomes what it will witness</w:t>
            </w:r>
          </w:p>
        </w:tc>
      </w:tr>
      <w:tr>
        <w:tc>
          <w:tcPr/>
          <w:p>
            <w:pPr>
              <w:pStyle w:val="Compact"/>
            </w:pPr>
            <w:r>
              <w:t xml:space="preserve">7</w:t>
            </w:r>
          </w:p>
        </w:tc>
        <w:tc>
          <w:tcPr/>
          <w:p>
            <w:pPr>
              <w:pStyle w:val="Compact"/>
            </w:pPr>
            <w:r>
              <w:t xml:space="preserve">The plans (counsel) of Judah and Jerusalem will be voided in this place</w:t>
            </w:r>
          </w:p>
        </w:tc>
        <w:tc>
          <w:tcPr/>
          <w:p>
            <w:pPr>
              <w:pStyle w:val="Compact"/>
            </w:pPr>
            <w:r>
              <w:t xml:space="preserve">Wordplay:</w:t>
            </w:r>
            <w:r>
              <w:t xml:space="preserve"> </w:t>
            </w:r>
            <w:r>
              <w:rPr>
                <w:i/>
                <w:iCs/>
              </w:rPr>
              <w:t xml:space="preserve">baqaq</w:t>
            </w:r>
            <w:r>
              <w:t xml:space="preserve"> </w:t>
            </w:r>
            <w:r>
              <w:t xml:space="preserve">(to make void/empty) — same root as the flask (</w:t>
            </w:r>
            <w:r>
              <w:rPr>
                <w:i/>
                <w:iCs/>
              </w:rPr>
              <w:t xml:space="preserve">baqbuq</w:t>
            </w:r>
            <w:r>
              <w:t xml:space="preserve">) — God will empty Judah’s counsel as the flask will be emptied</w:t>
            </w:r>
          </w:p>
        </w:tc>
      </w:tr>
      <w:tr>
        <w:tc>
          <w:tcPr/>
          <w:p>
            <w:pPr>
              <w:pStyle w:val="Compact"/>
            </w:pPr>
            <w:r>
              <w:t xml:space="preserve">7b</w:t>
            </w:r>
          </w:p>
        </w:tc>
        <w:tc>
          <w:tcPr/>
          <w:p>
            <w:pPr>
              <w:pStyle w:val="Compact"/>
            </w:pPr>
            <w:r>
              <w:t xml:space="preserve">They will fall by the sword before their enemies; God will give their corpses as food to birds and beasts</w:t>
            </w:r>
          </w:p>
        </w:tc>
        <w:tc>
          <w:tcPr/>
          <w:p>
            <w:pPr>
              <w:pStyle w:val="Compact"/>
            </w:pPr>
            <w:r>
              <w:t xml:space="preserve">Covenant curse language — Deuteronomy 28:26</w:t>
            </w:r>
          </w:p>
        </w:tc>
      </w:tr>
      <w:tr>
        <w:tc>
          <w:tcPr/>
          <w:p>
            <w:pPr>
              <w:pStyle w:val="Compact"/>
            </w:pPr>
            <w:r>
              <w:t xml:space="preserve">8</w:t>
            </w:r>
          </w:p>
        </w:tc>
        <w:tc>
          <w:tcPr/>
          <w:p>
            <w:pPr>
              <w:pStyle w:val="Compact"/>
            </w:pPr>
            <w:r>
              <w:t xml:space="preserve">The city will be made desolate and a hissing — everyone who passes by will be appalled</w:t>
            </w:r>
          </w:p>
        </w:tc>
        <w:tc>
          <w:tcPr/>
          <w:p>
            <w:pPr>
              <w:pStyle w:val="Compact"/>
            </w:pPr>
            <w:r>
              <w:t xml:space="preserve">Standard prophetic formula for total desolation</w:t>
            </w:r>
          </w:p>
        </w:tc>
      </w:tr>
      <w:tr>
        <w:tc>
          <w:tcPr/>
          <w:p>
            <w:pPr>
              <w:pStyle w:val="Compact"/>
            </w:pPr>
            <w:r>
              <w:t xml:space="preserve">9</w:t>
            </w:r>
          </w:p>
        </w:tc>
        <w:tc>
          <w:tcPr/>
          <w:p>
            <w:pPr>
              <w:pStyle w:val="Compact"/>
            </w:pPr>
            <w:r>
              <w:t xml:space="preserve">Siege cannibalism: they will eat the flesh of their sons and daughters</w:t>
            </w:r>
          </w:p>
        </w:tc>
        <w:tc>
          <w:tcPr/>
          <w:p>
            <w:pPr>
              <w:pStyle w:val="Compact"/>
            </w:pPr>
            <w:r>
              <w:t xml:space="preserve">The most extreme covenant curse (Deuteronomy 28:53-57); the punishment mirrors the crime — those who sacrificed children to Baal will themselves consume their children under siege</w:t>
            </w:r>
          </w:p>
        </w:tc>
      </w:tr>
      <w:tr>
        <w:tc>
          <w:tcPr/>
          <w:p>
            <w:pPr>
              <w:pStyle w:val="Compact"/>
            </w:pPr>
            <w:r>
              <w:t xml:space="preserve">10</w:t>
            </w:r>
          </w:p>
        </w:tc>
        <w:tc>
          <w:tcPr/>
          <w:p>
            <w:pPr>
              <w:pStyle w:val="Compact"/>
            </w:pPr>
            <w:r>
              <w:t xml:space="preserve">The sign-act: Jeremiah shatters the flask before the witnesses</w:t>
            </w:r>
          </w:p>
        </w:tc>
        <w:tc>
          <w:tcPr/>
          <w:p>
            <w:pPr>
              <w:pStyle w:val="Compact"/>
            </w:pPr>
            <w:r>
              <w:t xml:space="preserve">The word becomes physical; the verdict is enacted, not merely spoken</w:t>
            </w:r>
          </w:p>
        </w:tc>
      </w:tr>
      <w:tr>
        <w:tc>
          <w:tcPr/>
          <w:p>
            <w:pPr>
              <w:pStyle w:val="Compact"/>
            </w:pPr>
            <w:r>
              <w:t xml:space="preserve">11</w:t>
            </w:r>
          </w:p>
        </w:tc>
        <w:tc>
          <w:tcPr/>
          <w:p>
            <w:pPr>
              <w:pStyle w:val="Compact"/>
            </w:pPr>
            <w:r>
              <w:t xml:space="preserve">Verbal interpretation of the sign:</w:t>
            </w:r>
            <w:r>
              <w:t xml:space="preserve"> </w:t>
            </w:r>
            <w:r>
              <w:t xml:space="preserve">“Thus says the LORD of hosts: So will I break this people and this city, as one breaks a potter’s vessel, so that it can never be mended”</w:t>
            </w:r>
          </w:p>
        </w:tc>
        <w:tc>
          <w:tcPr/>
          <w:p>
            <w:pPr>
              <w:pStyle w:val="Compact"/>
            </w:pPr>
            <w:r>
              <w:t xml:space="preserve">The irreversibility is explicit —</w:t>
            </w:r>
            <w:r>
              <w:t xml:space="preserve"> </w:t>
            </w:r>
            <w:r>
              <w:t xml:space="preserve">“can never be mended”</w:t>
            </w:r>
          </w:p>
        </w:tc>
      </w:tr>
      <w:tr>
        <w:tc>
          <w:tcPr/>
          <w:p>
            <w:pPr>
              <w:pStyle w:val="Compact"/>
            </w:pPr>
            <w:r>
              <w:t xml:space="preserve">11b</w:t>
            </w:r>
          </w:p>
        </w:tc>
        <w:tc>
          <w:tcPr/>
          <w:p>
            <w:pPr>
              <w:pStyle w:val="Compact"/>
            </w:pPr>
            <w:r>
              <w:t xml:space="preserve">They will bury at Topheth because there will be no room elsewhere</w:t>
            </w:r>
          </w:p>
        </w:tc>
        <w:tc>
          <w:tcPr/>
          <w:p>
            <w:pPr>
              <w:pStyle w:val="Compact"/>
            </w:pPr>
            <w:r>
              <w:t xml:space="preserve">The magnitude of slaughter will overflow every burial site</w:t>
            </w:r>
          </w:p>
        </w:tc>
      </w:tr>
      <w:tr>
        <w:tc>
          <w:tcPr/>
          <w:p>
            <w:pPr>
              <w:pStyle w:val="Compact"/>
            </w:pPr>
            <w:r>
              <w:t xml:space="preserve">12</w:t>
            </w:r>
          </w:p>
        </w:tc>
        <w:tc>
          <w:tcPr/>
          <w:p>
            <w:pPr>
              <w:pStyle w:val="Compact"/>
            </w:pPr>
            <w:r>
              <w:t xml:space="preserve">God will do to Jerusalem and its houses what He has done to Topheth</w:t>
            </w:r>
          </w:p>
        </w:tc>
        <w:tc>
          <w:tcPr/>
          <w:p>
            <w:pPr>
              <w:pStyle w:val="Compact"/>
            </w:pPr>
            <w:r>
              <w:t xml:space="preserve">The whole city becomes Topheth — the site of atrocity becomes the site of punishment</w:t>
            </w:r>
          </w:p>
        </w:tc>
      </w:tr>
      <w:tr>
        <w:tc>
          <w:tcPr/>
          <w:p>
            <w:pPr>
              <w:pStyle w:val="Compact"/>
            </w:pPr>
            <w:r>
              <w:t xml:space="preserve">13</w:t>
            </w:r>
          </w:p>
        </w:tc>
        <w:tc>
          <w:tcPr/>
          <w:p>
            <w:pPr>
              <w:pStyle w:val="Compact"/>
            </w:pPr>
            <w:r>
              <w:t xml:space="preserve">The houses of Jerusalem and the kings’ houses defiled by roof-altar worship of the host of heaven and libations to other gods</w:t>
            </w:r>
          </w:p>
        </w:tc>
        <w:tc>
          <w:tcPr/>
          <w:p>
            <w:pPr>
              <w:pStyle w:val="Compact"/>
            </w:pPr>
            <w:r>
              <w:t xml:space="preserve">The defilement is architectural — the very buildings have been consecrated to false gods</w:t>
            </w:r>
          </w:p>
        </w:tc>
      </w:tr>
      <w:tr>
        <w:tc>
          <w:tcPr/>
          <w:p>
            <w:pPr>
              <w:pStyle w:val="Compact"/>
            </w:pPr>
            <w:r>
              <w:t xml:space="preserve">14</w:t>
            </w:r>
          </w:p>
        </w:tc>
        <w:tc>
          <w:tcPr/>
          <w:p>
            <w:pPr>
              <w:pStyle w:val="Compact"/>
            </w:pPr>
            <w:r>
              <w:t xml:space="preserve">Jeremiah returns from Topheth to the temple court</w:t>
            </w:r>
          </w:p>
        </w:tc>
        <w:tc>
          <w:tcPr/>
          <w:p>
            <w:pPr>
              <w:pStyle w:val="Compact"/>
            </w:pPr>
            <w:r>
              <w:t xml:space="preserve">He does not keep this in the valley — he carries the sentence back to the center of Israel’s institutional religion</w:t>
            </w:r>
          </w:p>
        </w:tc>
      </w:tr>
      <w:tr>
        <w:tc>
          <w:tcPr/>
          <w:p>
            <w:pPr>
              <w:pStyle w:val="Compact"/>
            </w:pPr>
            <w:r>
              <w:t xml:space="preserve">15</w:t>
            </w:r>
          </w:p>
        </w:tc>
        <w:tc>
          <w:tcPr/>
          <w:p>
            <w:pPr>
              <w:pStyle w:val="Compact"/>
            </w:pPr>
            <w:r>
              <w:t xml:space="preserve">Jeremiah repeats the sentence in the temple court:</w:t>
            </w:r>
            <w:r>
              <w:t xml:space="preserve"> </w:t>
            </w:r>
            <w:r>
              <w:t xml:space="preserve">“I am bringing upon this city and all its towns all the disaster that I have pronounced against it, because they have stiffened their neck, refusing to hear my words”</w:t>
            </w:r>
          </w:p>
        </w:tc>
        <w:tc>
          <w:tcPr/>
          <w:p>
            <w:pPr>
              <w:pStyle w:val="Compact"/>
            </w:pPr>
            <w:r>
              <w:t xml:space="preserve">The summary cause:</w:t>
            </w:r>
            <w:r>
              <w:t xml:space="preserve"> </w:t>
            </w:r>
            <w:r>
              <w:rPr>
                <w:i/>
                <w:iCs/>
              </w:rPr>
              <w:t xml:space="preserve">stiffened neck</w:t>
            </w:r>
            <w:r>
              <w:t xml:space="preserve"> </w:t>
            </w:r>
            <w:r>
              <w:t xml:space="preserve">— the posture of a people who have passed from waywardness to hardness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Preparation: God Stages a Covenant Lawsuit at the Scene of the Crime</w:t>
            </w:r>
          </w:p>
        </w:tc>
      </w:tr>
      <w:tr>
        <w:tc>
          <w:tcPr/>
          <w:p>
            <w:pPr>
              <w:pStyle w:val="Compact"/>
            </w:pPr>
            <w:r>
              <w:t xml:space="preserve">2</w:t>
            </w:r>
          </w:p>
        </w:tc>
        <w:tc>
          <w:tcPr/>
          <w:p>
            <w:pPr>
              <w:pStyle w:val="Compact"/>
            </w:pPr>
            <w:r>
              <w:t xml:space="preserve">3–5</w:t>
            </w:r>
          </w:p>
        </w:tc>
        <w:tc>
          <w:tcPr/>
          <w:p>
            <w:pPr>
              <w:pStyle w:val="Compact"/>
            </w:pPr>
            <w:r>
              <w:t xml:space="preserve">The Indictment: Three Charges — Apostasy, Foreign Worship, and the Blood of Innocents</w:t>
            </w:r>
          </w:p>
        </w:tc>
      </w:tr>
      <w:tr>
        <w:tc>
          <w:tcPr/>
          <w:p>
            <w:pPr>
              <w:pStyle w:val="Compact"/>
            </w:pPr>
            <w:r>
              <w:t xml:space="preserve">3</w:t>
            </w:r>
          </w:p>
        </w:tc>
        <w:tc>
          <w:tcPr/>
          <w:p>
            <w:pPr>
              <w:pStyle w:val="Compact"/>
            </w:pPr>
            <w:r>
              <w:t xml:space="preserve">6–9</w:t>
            </w:r>
          </w:p>
        </w:tc>
        <w:tc>
          <w:tcPr/>
          <w:p>
            <w:pPr>
              <w:pStyle w:val="Compact"/>
            </w:pPr>
            <w:r>
              <w:t xml:space="preserve">The Sentence: Proportioned, Specific, and Catastrophic</w:t>
            </w:r>
          </w:p>
        </w:tc>
      </w:tr>
      <w:tr>
        <w:tc>
          <w:tcPr/>
          <w:p>
            <w:pPr>
              <w:pStyle w:val="Compact"/>
            </w:pPr>
            <w:r>
              <w:t xml:space="preserve">4</w:t>
            </w:r>
          </w:p>
        </w:tc>
        <w:tc>
          <w:tcPr/>
          <w:p>
            <w:pPr>
              <w:pStyle w:val="Compact"/>
            </w:pPr>
            <w:r>
              <w:t xml:space="preserve">10–13</w:t>
            </w:r>
          </w:p>
        </w:tc>
        <w:tc>
          <w:tcPr/>
          <w:p>
            <w:pPr>
              <w:pStyle w:val="Compact"/>
            </w:pPr>
            <w:r>
              <w:t xml:space="preserve">The Sign-Act: The Flask Shattered — Irreversibility Enacted</w:t>
            </w:r>
          </w:p>
        </w:tc>
      </w:tr>
      <w:tr>
        <w:tc>
          <w:tcPr/>
          <w:p>
            <w:pPr>
              <w:pStyle w:val="Compact"/>
            </w:pPr>
            <w:r>
              <w:t xml:space="preserve">5</w:t>
            </w:r>
          </w:p>
        </w:tc>
        <w:tc>
          <w:tcPr/>
          <w:p>
            <w:pPr>
              <w:pStyle w:val="Compact"/>
            </w:pPr>
            <w:r>
              <w:t xml:space="preserve">14–15</w:t>
            </w:r>
          </w:p>
        </w:tc>
        <w:tc>
          <w:tcPr/>
          <w:p>
            <w:pPr>
              <w:pStyle w:val="Compact"/>
            </w:pPr>
            <w:r>
              <w:t xml:space="preserve">The Return: The Sentence Carried from Topheth to the Temple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sentences Jerusalem to irreversible destruction for the shedding of innocent blood and the worship of false gods.</w:t>
      </w:r>
    </w:p>
    <w:p>
      <w:pPr>
        <w:pStyle w:val="BodyText"/>
      </w:pPr>
      <w:r>
        <w:rPr>
          <w:b/>
          <w:bCs/>
        </w:rPr>
        <w:t xml:space="preserve">Primary Claim:</w:t>
      </w:r>
      <w:r>
        <w:t xml:space="preserve"> </w:t>
      </w:r>
      <w:r>
        <w:t xml:space="preserve">God’s judgment falls not merely when sin is committed but when sin has hardened beyond the reach of repentance — and when it does, the reckoning is precisely proportioned to the atrocity. God is calling every reader to reckon with the severity of what persistent, institutional, child-consuming idolatry actually costs.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severity of God’s judgment against child sacrifice must be preached without softening.</w:t>
      </w:r>
      <w:r>
        <w:t xml:space="preserve"> </w:t>
      </w:r>
      <w:r>
        <w:rPr>
          <w:i/>
          <w:iCs/>
        </w:rPr>
        <w:t xml:space="preserve">(Mind/Belief)</w:t>
      </w:r>
      <w:r>
        <w:t xml:space="preserve"> </w:t>
      </w:r>
      <w:r>
        <w:t xml:space="preserve">Jeremiah 19 does not permit the preacher or reader to treat Topheth as a historical curiosity safely distant from the present. The specific gravity of shedding innocent blood — particularly the blood of children sacrificed to satisfy cultural, religious, or economic demand — is a category God treats with terrible precision. Congregations shaped by a therapeutic or sentimentalized vision of God need to be confronted with the God of Jeremiah 19, who names the sin, locates the sentence in the site of the atrocity, and proportions the punishment to match the crime. Every contemporary form of the consumption of children — including the institutional sacrifice of the vulnerable to secure cultural comfort or economic advantage — stands under the same weight.</w:t>
      </w:r>
    </w:p>
    <w:p>
      <w:pPr>
        <w:pStyle w:val="BodyText"/>
      </w:pPr>
      <w:r>
        <w:rPr>
          <w:b/>
          <w:bCs/>
        </w:rPr>
        <w:t xml:space="preserve">2. Recognize the difference between workable clay and a hardened, fired vessel — and do not confuse them in your own life.</w:t>
      </w:r>
      <w:r>
        <w:t xml:space="preserve"> </w:t>
      </w:r>
      <w:r>
        <w:rPr>
          <w:i/>
          <w:iCs/>
        </w:rPr>
        <w:t xml:space="preserve">(Mind/Belief)</w:t>
      </w:r>
      <w:r>
        <w:t xml:space="preserve"> </w:t>
      </w:r>
      <w:r>
        <w:t xml:space="preserve">Jeremiah 18 and 19 together establish a theological principle with urgent pastoral application: there is a state of responsiveness and a state of hardness, and the trajectory from one to the other is not theoretical — it is lived, incremental, and ultimately visible to God in a way it may not be visible to the person traveling it. The congregation needs to hear that persistent refusal of God’s call is not merely the continuation of a correctable pattern — it is the progressive firing of the clay into a vessel that cannot be remade. The call is not to panic but to treat conviction, discomfort under the Word, and the pull of the Spirit as costly gifts — the signs that the clay is still workable.</w:t>
      </w:r>
    </w:p>
    <w:p>
      <w:pPr>
        <w:pStyle w:val="BodyText"/>
      </w:pPr>
      <w:r>
        <w:rPr>
          <w:b/>
          <w:bCs/>
        </w:rPr>
        <w:t xml:space="preserve">3. Let the shattered flask produce the fear it was designed to produce.</w:t>
      </w:r>
      <w:r>
        <w:t xml:space="preserve"> </w:t>
      </w:r>
      <w:r>
        <w:rPr>
          <w:i/>
          <w:iCs/>
        </w:rPr>
        <w:t xml:space="preserve">(Affections/Worship)</w:t>
      </w:r>
      <w:r>
        <w:t xml:space="preserve"> </w:t>
      </w:r>
      <w:r>
        <w:t xml:space="preserve">The sign-act of Jeremiah 19 is not a homiletical prop — it is God’s chosen method for making an abstraction concrete and visceral. The sound of breaking pottery before the witnesses at Topheth was designed to produce a specific emotional response: the gut-level registration that something has ended, something that cannot be repaired. The congregation’s affections have been so thoroughly anesthetized by a culture (and often a church) that prefers comfort to clarity that the appropriate emotional response to divine judgment — grief, fear, sobriety — has been trained out of many believers. This passage calls for a recovery of holy dread: not morbid obsession with doom, but the reverent seriousness of people who know that God’s patience, though immense, is not infinite and that His judgments, when they fall, are real.</w:t>
      </w:r>
    </w:p>
    <w:p>
      <w:pPr>
        <w:pStyle w:val="BodyText"/>
      </w:pPr>
      <w:r>
        <w:rPr>
          <w:b/>
          <w:bCs/>
        </w:rPr>
        <w:t xml:space="preserve">4. Do not assume that religious activity insulates a community from divine judgment.</w:t>
      </w:r>
      <w:r>
        <w:t xml:space="preserve"> </w:t>
      </w:r>
      <w:r>
        <w:rPr>
          <w:i/>
          <w:iCs/>
        </w:rPr>
        <w:t xml:space="preserve">(Affections/Worship)</w:t>
      </w:r>
      <w:r>
        <w:t xml:space="preserve"> </w:t>
      </w:r>
      <w:r>
        <w:t xml:space="preserve">Jeremiah delivers the sentence at Topheth and then carries it immediately to the temple court. The explicit connection is inescapable: the people being sentenced are temple-going people, people with priests and elders, people with an institutional religious apparatus in full operation. Jeremiah 19:13 identifies the houses of Jerusalem — including the royal palace — as defiled by roof-altar worship of the host of heaven. The defilement and the institutional religion coexisted. Contemporary congregations that equate church attendance, theological heritage, or Reformed confessionalism with covenant security need to hear Jeremiah 19: God’s lawsuit was delivered inside the temple, not from outside it. The question is not whether the institution is functioning but whether the LORD is actually worshiped there.</w:t>
      </w:r>
    </w:p>
    <w:p>
      <w:pPr>
        <w:pStyle w:val="BodyText"/>
      </w:pPr>
      <w:r>
        <w:rPr>
          <w:b/>
          <w:bCs/>
        </w:rPr>
        <w:t xml:space="preserve">5. Carry the whole sentence — do not preach part of it.</w:t>
      </w:r>
      <w:r>
        <w:t xml:space="preserve"> </w:t>
      </w:r>
      <w:r>
        <w:rPr>
          <w:i/>
          <w:iCs/>
        </w:rPr>
        <w:t xml:space="preserve">(Will/Behavior)</w:t>
      </w:r>
      <w:r>
        <w:t xml:space="preserve"> </w:t>
      </w:r>
      <w:r>
        <w:t xml:space="preserve">Jeremiah does not deliver the oracle at Topheth and then privately debrief with the elders over its softer implications. He returns to the temple court and repeats the message in full to the whole people (v. 14–15). The cause given in the final verse is</w:t>
      </w:r>
      <w:r>
        <w:t xml:space="preserve"> </w:t>
      </w:r>
      <w:r>
        <w:rPr>
          <w:i/>
          <w:iCs/>
        </w:rPr>
        <w:t xml:space="preserve">stiffened neck</w:t>
      </w:r>
      <w:r>
        <w:t xml:space="preserve"> </w:t>
      </w:r>
      <w:r>
        <w:t xml:space="preserve">— refusal to hear. The preacher or teacher who habitually softens, qualifies, or omits the hard edges of God’s Word in order to manage congregational comfort is, in effect, contributing to the stiffened neck rather than addressing it. This passage calls for the same completeness Jeremiah demonstrated: the sentence delivered in private (to the elders) must be delivered in public (to the whole community), because the hardness is communal and the warning must be communal.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19 establishes with unambiguous force that God’s holiness is not a background attribute that tolerates ongoing covenant violation indefinitely — it is an active, responsive, and finally irreversible judicial reality. The passage teaches that God identifies with the innocent blood shed at Topheth with such specificity that He proportions the judgment to match the crime: the site of the slaughter becomes the site of the sentence. It also establishes that God’s sovereign freedom, demonstrated in chapter 18, is not a permanent open door — the God who is free to show mercy is equally free to execute sentence when the clay has been fired past the point of reshaping. The theology of Jeremiah 19 is not the theology of an angry deity looking for an excuse to destroy — it is the theology of a holy God who has issued warnings, waited through generations of apostasy, and now acts in the precise, proportioned justice that His character requires.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19 functions within a Reformed theological framework as one of Scripture’s most unambiguous testimonies to the doctrines of divine sovereignty and covenant accountability operating in concert. The irreversibility of the sentence is not a failure of grace — it is the terminus of a grace that was itself sovereignly extended, repeatedly renewed, and finally exhausted by the will of the people to stiffen their necks against it. This is not Arminian contingency (grace waits upon human response indefinitely) but neither is it a cold mechanical determinism (judgment was always inevitable). It is the Reformed understanding of covenant history: God acts in history, real choices have real consequences, and the God who bound Himself to a people in covenant is the same God who holds them to the terms of that covenant with absolute integrity. The passage also grounds the Reformed insistence that true worship and idolatry are not parallel options with parallel outcomes — they are life and death, and the God of the covenant is not indifferent to which one His people choose.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Jeremiah 19 is not the God of therapeutic religion — He is the God who stages a covenant lawsuit at the site of child sacrifice, shatters a flask before witnesses, and delivers a sentence that cannot be unmended. The sin He is judging is not vague spiritual laxity — it is the institutionalized burning of children to a false god, committed by a people with a temple and a priesthood and a religious calendar. The question this passage puts to every reader is not</w:t>
      </w:r>
      <w:r>
        <w:t xml:space="preserve"> </w:t>
      </w:r>
      <w:r>
        <w:rPr>
          <w:i/>
          <w:iCs/>
        </w:rPr>
        <w:t xml:space="preserve">“Are you worse than Judah?”</w:t>
      </w:r>
      <w:r>
        <w:t xml:space="preserve"> </w:t>
      </w:r>
      <w:r>
        <w:t xml:space="preserve">but</w:t>
      </w:r>
      <w:r>
        <w:t xml:space="preserve"> </w:t>
      </w:r>
      <w:r>
        <w:rPr>
          <w:i/>
          <w:iCs/>
        </w:rPr>
        <w:t xml:space="preserve">“Are you still workable clay, or has the firing begun?”</w:t>
      </w:r>
      <w:r>
        <w:t xml:space="preserve"> </w:t>
      </w:r>
      <w:r>
        <w:t xml:space="preserve">The shattered flask stays shattered. The time to hear is before the shattering — and the time is now.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Topheth as purely historical and therefore safely distant.</w:t>
      </w:r>
      <w:r>
        <w:t xml:space="preserve"> </w:t>
      </w:r>
      <w:r>
        <w:t xml:space="preserve">The most common failure in preaching Jeremiah 19 is to present the child sacrifice at Topheth as an ancient horror that contemporary audiences can observe from a comfortable distance. This collapses the text’s own intent. The passage is not a history lesson — it is a covenant lawsuit, and the preacher’s job is to press the question of what contemporary equivalents of institutionalized child-sacrifice (the consumption of the innocent and vulnerable for cultural, economic, or ideological gain) look like before a God who proportions His judgments with the same specificity He displayed at Topheth.</w:t>
      </w:r>
    </w:p>
    <w:p>
      <w:pPr>
        <w:numPr>
          <w:ilvl w:val="0"/>
          <w:numId w:val="1002"/>
        </w:numPr>
      </w:pPr>
      <w:r>
        <w:rPr>
          <w:b/>
          <w:bCs/>
        </w:rPr>
        <w:t xml:space="preserve">Ignoring the canonical movement from chapter 18 to chapter 19.</w:t>
      </w:r>
      <w:r>
        <w:t xml:space="preserve"> </w:t>
      </w:r>
      <w:r>
        <w:t xml:space="preserve">Preaching Jeremiah 19 without acknowledging the potter’s clay of chapter 18 misses the entire rhetorical force of the fired flask. The clay/flask distinction is not a minor detail — it is the load-bearing image that distinguishes warning from verdict. A sermon that treats chapter 19 as another standard prophetic indictment rather than a formal escalation from conditional warning to irreversible sentence will not produce the response the text intends.</w:t>
      </w:r>
    </w:p>
    <w:p>
      <w:pPr>
        <w:numPr>
          <w:ilvl w:val="0"/>
          <w:numId w:val="1002"/>
        </w:numPr>
      </w:pPr>
      <w:r>
        <w:rPr>
          <w:b/>
          <w:bCs/>
        </w:rPr>
        <w:t xml:space="preserve">Softening</w:t>
      </w:r>
      <w:r>
        <w:rPr>
          <w:b/>
          <w:bCs/>
        </w:rPr>
        <w:t xml:space="preserve"> </w:t>
      </w:r>
      <w:r>
        <w:rPr>
          <w:b/>
          <w:bCs/>
        </w:rPr>
        <w:t xml:space="preserve">“can never be mended”</w:t>
      </w:r>
      <w:r>
        <w:rPr>
          <w:b/>
          <w:bCs/>
        </w:rPr>
        <w:t xml:space="preserve"> </w:t>
      </w:r>
      <w:r>
        <w:rPr>
          <w:b/>
          <w:bCs/>
        </w:rPr>
        <w:t xml:space="preserve">(v. 11).</w:t>
      </w:r>
      <w:r>
        <w:t xml:space="preserve"> </w:t>
      </w:r>
      <w:r>
        <w:t xml:space="preserve">The irreversibility of the sentence is not a hyperbole to be qualified with restoration promises from Jeremiah 30–33. The restoration promises are real, but they operate at the level of the covenant people across generations, not at the level of this city in this generation. Importing restoration language into the exegesis of chapter 19 is a form of false comfort — it is precisely the kind of smoothing over that the false prophets of Jeremiah’s day were doing, and Jeremiah is doing the opposite.</w:t>
      </w:r>
    </w:p>
    <w:p>
      <w:pPr>
        <w:numPr>
          <w:ilvl w:val="0"/>
          <w:numId w:val="1002"/>
        </w:numPr>
      </w:pPr>
      <w:r>
        <w:rPr>
          <w:b/>
          <w:bCs/>
        </w:rPr>
        <w:t xml:space="preserve">Reducing the sign-act to an illustration.</w:t>
      </w:r>
      <w:r>
        <w:t xml:space="preserve"> </w:t>
      </w:r>
      <w:r>
        <w:t xml:space="preserve">Jeremiah is not using the flask as a sermon illustration — he is performing a divine decree. The shattering</w:t>
      </w:r>
      <w:r>
        <w:t xml:space="preserve"> </w:t>
      </w:r>
      <w:r>
        <w:rPr>
          <w:i/>
          <w:iCs/>
        </w:rPr>
        <w:t xml:space="preserve">is</w:t>
      </w:r>
      <w:r>
        <w:t xml:space="preserve"> </w:t>
      </w:r>
      <w:r>
        <w:t xml:space="preserve">the word of God in a physical register. Exposition that treats the flask as a memorable teaching device rather than a constitutive prophetic act misses the theology of prophetic sign-acts: when the prophet acts under divine commission, the sign-act participates in the reality it signifies.</w:t>
      </w:r>
    </w:p>
    <w:p>
      <w:pPr>
        <w:numPr>
          <w:ilvl w:val="0"/>
          <w:numId w:val="1002"/>
        </w:numPr>
      </w:pPr>
      <w:r>
        <w:rPr>
          <w:b/>
          <w:bCs/>
        </w:rPr>
        <w:t xml:space="preserve">Failing to preach both movements of the chapter — the oracle at Topheth and the return to the temple.</w:t>
      </w:r>
      <w:r>
        <w:t xml:space="preserve"> </w:t>
      </w:r>
      <w:r>
        <w:t xml:space="preserve">Many expositors focus on verses 1–13 (the scene at Topheth) and treat verses 14–15 as a brief coda. But the return to the temple is theologically essential: it establishes that the sentence covers not just the valley of pagan sacrifice but the center of Israel’s institutional religion. The temple court is not exempt. Preaching that stops at the valley misses God’s indictment of religious formalism that coexists with, and perhaps conceals, the deeper apostasy.</w:t>
      </w:r>
    </w:p>
    <w:p>
      <w:pPr>
        <w:numPr>
          <w:ilvl w:val="0"/>
          <w:numId w:val="1002"/>
        </w:numPr>
      </w:pPr>
      <w:r>
        <w:rPr>
          <w:b/>
          <w:bCs/>
        </w:rPr>
        <w:t xml:space="preserve">Omitting the Fallen Condition Focus — the stiffened neck.</w:t>
      </w:r>
      <w:r>
        <w:t xml:space="preserve"> </w:t>
      </w:r>
      <w:r>
        <w:t xml:space="preserve">Verse 15 identifies the summary cause of the judgment as the people’s refusal to hear — a stiffened neck. This is the universal human condition the passage addresses: not merely external sin but the internal posture of deliberate, repeated, habituated refusal of God’s Word. Application that focuses only on the external sins (idolatry, child sacrifice) without diagnosing the root condition (the hardening of the will against God) will miss the passage’s deepest pastoral force. The congregation needs to hear what a stiffened neck looks like in ordinary, non-pagan life — the repeated setting aside of conviction, the habitual domestication of discomfort under the Word.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2026-07-14T21:05:59Z</dcterms:created>
  <dcterms:modified xsi:type="dcterms:W3CDTF">2026-07-14T21:05:59Z</dcterms:modified>
</cp:coreProperties>
</file>

<file path=docProps/custom.xml><?xml version="1.0" encoding="utf-8"?>
<Properties xmlns="http://schemas.openxmlformats.org/officeDocument/2006/custom-properties" xmlns:vt="http://schemas.openxmlformats.org/officeDocument/2006/docPropsVTypes"/>
</file>